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>
        <w:rPr>
          <w:rFonts w:cs="Times New Roman" w:eastAsiaTheme="minorEastAsia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-304800</wp:posOffset>
                </wp:positionV>
                <wp:extent cx="2692400" cy="981075"/>
                <wp:effectExtent l="0" t="0" r="0" b="0"/>
                <wp:wrapThrough wrapText="bothSides">
                  <wp:wrapPolygon edited="1">
                    <wp:start x="0" y="0"/>
                    <wp:lineTo x="21600" y="0"/>
                    <wp:lineTo x="21600" y="21600"/>
                    <wp:lineTo x="0" y="21600"/>
                  </wp:wrapPolygon>
                </wp:wrapThrough>
                <wp:docPr id="1" name="Рисунок 1" descr="C:\Users\ЗилаловаГП\Downloads\imgonline-com-ua-Resize-AxUH5qc9MGoX5H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59483514" name="Рисунок 2" descr="C:\Users\ЗилаловаГП\Downloads\imgonline-com-ua-Resize-AxUH5qc9MGoX5HD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 rot="0" flipH="0" flipV="0">
                          <a:off x="0" y="0"/>
                          <a:ext cx="2692399" cy="9810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text;margin-left:-3.00pt;mso-position-horizontal:absolute;mso-position-vertical-relative:text;margin-top:-24.00pt;mso-position-vertical:absolute;width:212.00pt;height:77.25pt;mso-wrap-distance-left:9.00pt;mso-wrap-distance-top:0.00pt;mso-wrap-distance-right:9.00pt;mso-wrap-distance-bottom:0.00pt;rotation:0;" wrapcoords="0 0 100000 0 100000 100000 0 100000" stroked="f">
                <v:path textboxrect="0,0,0,0"/>
                <w10:wrap type="through"/>
                <v:imagedata r:id="rId9" o:title=""/>
              </v:shape>
            </w:pict>
          </mc:Fallback>
        </mc:AlternateContent>
      </w:r>
      <w:r/>
    </w:p>
    <w:p>
      <w:r/>
      <w:r/>
    </w:p>
    <w:p>
      <w:pPr>
        <w:jc w:val="right"/>
        <w:spacing w:line="276" w:lineRule="auto"/>
        <w:rPr>
          <w:rFonts w:ascii="Segoe UI" w:hAnsi="Segoe UI" w:cs="Segoe UI"/>
          <w:sz w:val="24"/>
          <w:szCs w:val="24"/>
          <w:highlight w:val="none"/>
        </w:rPr>
      </w:pPr>
      <w:r>
        <w:rPr>
          <w:rFonts w:ascii="Segoe UI" w:hAnsi="Segoe UI" w:eastAsia="Segoe UI" w:cs="Segoe UI"/>
          <w:b/>
          <w:bCs/>
          <w:sz w:val="24"/>
          <w:szCs w:val="24"/>
        </w:rPr>
        <w:t xml:space="preserve">ПРЕСС-РЕЛИЗ</w:t>
      </w:r>
      <w:r>
        <w:rPr>
          <w:rFonts w:ascii="Segoe UI" w:hAnsi="Segoe UI" w:cs="Segoe UI"/>
          <w:sz w:val="24"/>
          <w:szCs w:val="24"/>
          <w:highlight w:val="none"/>
        </w:rPr>
      </w:r>
      <w:r>
        <w:rPr>
          <w:rFonts w:ascii="Segoe UI" w:hAnsi="Segoe UI" w:cs="Segoe UI"/>
          <w:sz w:val="24"/>
          <w:szCs w:val="24"/>
          <w:highlight w:val="none"/>
        </w:rPr>
      </w:r>
    </w:p>
    <w:p>
      <w:pPr>
        <w:jc w:val="left"/>
        <w:spacing w:line="276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eastAsia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jc w:val="center"/>
        <w:spacing w:line="276" w:lineRule="auto"/>
        <w:rPr>
          <w:rFonts w:ascii="Segoe UI" w:hAnsi="Segoe UI" w:cs="Segoe UI"/>
          <w:b/>
          <w:bCs/>
          <w:sz w:val="24"/>
          <w:szCs w:val="24"/>
          <w:highlight w:val="none"/>
        </w:rPr>
      </w:pPr>
      <w:r>
        <w:rPr>
          <w:rFonts w:ascii="Segoe UI" w:hAnsi="Segoe UI" w:eastAsia="Segoe UI" w:cs="Segoe UI"/>
          <w:b/>
          <w:bCs/>
          <w:sz w:val="24"/>
          <w:szCs w:val="24"/>
          <w:highlight w:val="none"/>
        </w:rPr>
      </w:r>
      <w:r>
        <w:rPr>
          <w:rFonts w:ascii="Segoe UI" w:hAnsi="Segoe UI" w:eastAsia="Segoe UI" w:cs="Segoe UI"/>
          <w:b/>
          <w:bCs/>
          <w:sz w:val="24"/>
          <w:szCs w:val="24"/>
          <w:highlight w:val="none"/>
        </w:rPr>
        <w:t xml:space="preserve">Почему налоговая база квартиры, указанная в налоговом уведомлении, отличается от её кадастровой стоимости?</w:t>
      </w:r>
      <w:r>
        <w:rPr>
          <w:rFonts w:ascii="Segoe UI" w:hAnsi="Segoe UI" w:cs="Segoe UI"/>
          <w:b/>
          <w:bCs/>
          <w:sz w:val="24"/>
          <w:szCs w:val="24"/>
          <w:highlight w:val="none"/>
        </w:rPr>
      </w:r>
      <w:r>
        <w:rPr>
          <w:rFonts w:ascii="Segoe UI" w:hAnsi="Segoe UI" w:cs="Segoe UI"/>
          <w:b/>
          <w:bCs/>
          <w:sz w:val="24"/>
          <w:szCs w:val="24"/>
          <w:highlight w:val="none"/>
        </w:rPr>
      </w:r>
    </w:p>
    <w:p>
      <w:pPr>
        <w:ind w:firstLine="708"/>
        <w:jc w:val="both"/>
        <w:spacing w:line="276" w:lineRule="auto"/>
        <w:rPr>
          <w:rFonts w:ascii="Segoe UI" w:hAnsi="Segoe UI" w:eastAsia="Segoe UI" w:cs="Segoe UI"/>
          <w:color w:val="0d0d0d" w:themeColor="text1" w:themeTint="F2"/>
          <w:sz w:val="24"/>
          <w:szCs w:val="24"/>
          <w:highlight w:val="none"/>
        </w:rPr>
      </w:pPr>
      <w:r>
        <w:rPr>
          <w:rFonts w:ascii="Segoe UI" w:hAnsi="Segoe UI" w:eastAsia="Segoe UI" w:cs="Segoe UI"/>
          <w:color w:val="0d0d0d" w:themeColor="text1" w:themeTint="F2"/>
          <w:sz w:val="24"/>
          <w:szCs w:val="24"/>
          <w:highlight w:val="none"/>
        </w:rPr>
      </w:r>
      <w:r>
        <w:rPr>
          <w:rFonts w:ascii="Segoe UI" w:hAnsi="Segoe UI" w:eastAsia="Segoe UI" w:cs="Segoe UI"/>
          <w:color w:val="0d0d0d" w:themeColor="text1" w:themeTint="F2"/>
          <w:sz w:val="24"/>
          <w:szCs w:val="24"/>
          <w:highlight w:val="none"/>
        </w:rPr>
        <w:t xml:space="preserve">Многие собственники, получая налоговое уведомление, отмечают, что указанная в нем налоговая база отличается от кадастровой стоимости квартиры, которую они видят в выписке из ЕГРН или на публичной кадастровой карте. Данная разница являетс</w:t>
      </w:r>
      <w:r>
        <w:rPr>
          <w:rFonts w:ascii="Segoe UI" w:hAnsi="Segoe UI" w:eastAsia="Segoe UI" w:cs="Segoe UI"/>
          <w:color w:val="0d0d0d" w:themeColor="text1" w:themeTint="F2"/>
          <w:sz w:val="24"/>
          <w:szCs w:val="24"/>
          <w:highlight w:val="none"/>
        </w:rPr>
        <w:t xml:space="preserve">я законной и обусловлена применением налогового вычета.</w:t>
      </w:r>
      <w:r>
        <w:rPr>
          <w:rFonts w:ascii="Segoe UI" w:hAnsi="Segoe UI" w:eastAsia="Segoe UI" w:cs="Segoe UI"/>
          <w:color w:val="0d0d0d" w:themeColor="text1" w:themeTint="F2"/>
          <w:sz w:val="24"/>
          <w:szCs w:val="24"/>
          <w:highlight w:val="none"/>
        </w:rPr>
      </w:r>
      <w:r>
        <w:rPr>
          <w:rFonts w:ascii="Segoe UI" w:hAnsi="Segoe UI" w:eastAsia="Segoe UI" w:cs="Segoe UI"/>
          <w:color w:val="0d0d0d" w:themeColor="text1" w:themeTint="F2"/>
          <w:sz w:val="24"/>
          <w:szCs w:val="24"/>
          <w:highlight w:val="none"/>
        </w:rPr>
      </w:r>
    </w:p>
    <w:p>
      <w:pPr>
        <w:ind w:firstLine="708"/>
        <w:jc w:val="both"/>
        <w:spacing w:line="276" w:lineRule="auto"/>
        <w:rPr>
          <w:rFonts w:ascii="Segoe UI" w:hAnsi="Segoe UI" w:cs="Segoe UI"/>
          <w:bCs/>
          <w:i/>
          <w:color w:val="0d0d0d" w:themeColor="text1" w:themeTint="F2"/>
          <w:sz w:val="24"/>
          <w:szCs w:val="24"/>
        </w:rPr>
      </w:pPr>
      <w:r>
        <w:rPr>
          <w:rFonts w:ascii="Segoe UI" w:hAnsi="Segoe UI" w:eastAsia="Segoe UI" w:cs="Segoe UI"/>
          <w:color w:val="0d0d0d" w:themeColor="text1" w:themeTint="F2"/>
          <w:sz w:val="24"/>
          <w:szCs w:val="24"/>
          <w:highlight w:val="none"/>
        </w:rPr>
        <w:t xml:space="preserve">« </w:t>
      </w:r>
      <w:r>
        <w:rPr>
          <w:rFonts w:ascii="Segoe UI" w:hAnsi="Segoe UI" w:eastAsia="Segoe UI" w:cs="Segoe UI"/>
          <w:i/>
          <w:iCs/>
          <w:color w:val="0d0d0d" w:themeColor="text1" w:themeTint="F2"/>
          <w:sz w:val="24"/>
          <w:szCs w:val="24"/>
          <w:highlight w:val="none"/>
        </w:rPr>
        <w:t xml:space="preserve">Н</w:t>
      </w:r>
      <w:r>
        <w:rPr>
          <w:rFonts w:ascii="Segoe UI" w:hAnsi="Segoe UI" w:eastAsia="Segoe UI" w:cs="Segoe UI"/>
          <w:i/>
          <w:iCs/>
          <w:color w:val="0d0d0d" w:themeColor="text1" w:themeTint="F2"/>
          <w:sz w:val="24"/>
          <w:szCs w:val="24"/>
          <w:highlight w:val="none"/>
        </w:rPr>
        <w:t xml:space="preserve">алог на имущество рассчитывается налоговыми органами исходя из кадастровой стоимости объекта, внесенной в Единый государственный реестр недвижимости (ЕГРН). Однако, в соответствии со статьей 403 Налогового кодекса РФ, налоговая база уменьшается на стоимост</w:t>
      </w:r>
      <w:r>
        <w:rPr>
          <w:rFonts w:ascii="Segoe UI" w:hAnsi="Segoe UI" w:eastAsia="Segoe UI" w:cs="Segoe UI"/>
          <w:i/>
          <w:iCs/>
          <w:color w:val="0d0d0d" w:themeColor="text1" w:themeTint="F2"/>
          <w:sz w:val="24"/>
          <w:szCs w:val="24"/>
          <w:highlight w:val="none"/>
        </w:rPr>
        <w:t xml:space="preserve">ь определенной площади квартиры:</w:t>
      </w:r>
      <w:r>
        <w:rPr>
          <w:rFonts w:ascii="Segoe UI" w:hAnsi="Segoe UI" w:cs="Segoe UI"/>
          <w:bCs/>
          <w:i/>
          <w:color w:val="0d0d0d" w:themeColor="text1" w:themeTint="F2"/>
          <w:sz w:val="24"/>
          <w:szCs w:val="24"/>
        </w:rPr>
      </w:r>
      <w:r>
        <w:rPr>
          <w:rFonts w:ascii="Segoe UI" w:hAnsi="Segoe UI" w:cs="Segoe UI"/>
          <w:bCs/>
          <w:i/>
          <w:color w:val="0d0d0d" w:themeColor="text1" w:themeTint="F2"/>
          <w:sz w:val="24"/>
          <w:szCs w:val="24"/>
        </w:rPr>
      </w:r>
    </w:p>
    <w:p>
      <w:pPr>
        <w:pStyle w:val="840"/>
        <w:numPr>
          <w:ilvl w:val="0"/>
          <w:numId w:val="1"/>
        </w:numPr>
        <w:jc w:val="both"/>
        <w:spacing w:line="276" w:lineRule="auto"/>
        <w:rPr>
          <w:rFonts w:ascii="Segoe UI" w:hAnsi="Segoe UI" w:cs="Segoe UI"/>
          <w:bCs/>
          <w:i/>
          <w:color w:val="0d0d0d" w:themeColor="text1" w:themeTint="F2"/>
          <w:sz w:val="24"/>
          <w:szCs w:val="24"/>
        </w:rPr>
      </w:pPr>
      <w:r>
        <w:rPr>
          <w:rFonts w:ascii="Segoe UI" w:hAnsi="Segoe UI" w:eastAsia="Segoe UI" w:cs="Segoe UI"/>
          <w:i/>
          <w:iCs/>
          <w:color w:val="0d0d0d" w:themeColor="text1" w:themeTint="F2"/>
          <w:sz w:val="24"/>
          <w:szCs w:val="24"/>
          <w:highlight w:val="none"/>
        </w:rPr>
        <w:t xml:space="preserve">для квартиры – вычет составляет 20 кв.м общей площади;</w:t>
      </w:r>
      <w:r>
        <w:rPr>
          <w:rFonts w:ascii="Segoe UI" w:hAnsi="Segoe UI" w:cs="Segoe UI"/>
          <w:bCs/>
          <w:i/>
          <w:color w:val="0d0d0d" w:themeColor="text1" w:themeTint="F2"/>
          <w:sz w:val="24"/>
          <w:szCs w:val="24"/>
        </w:rPr>
      </w:r>
      <w:r>
        <w:rPr>
          <w:rFonts w:ascii="Segoe UI" w:hAnsi="Segoe UI" w:cs="Segoe UI"/>
          <w:bCs/>
          <w:i/>
          <w:color w:val="0d0d0d" w:themeColor="text1" w:themeTint="F2"/>
          <w:sz w:val="24"/>
          <w:szCs w:val="24"/>
        </w:rPr>
      </w:r>
    </w:p>
    <w:p>
      <w:pPr>
        <w:pStyle w:val="840"/>
        <w:numPr>
          <w:ilvl w:val="0"/>
          <w:numId w:val="1"/>
        </w:numPr>
        <w:jc w:val="both"/>
        <w:spacing w:line="276" w:lineRule="auto"/>
        <w:rPr>
          <w:rFonts w:ascii="Segoe UI" w:hAnsi="Segoe UI" w:cs="Segoe UI"/>
          <w:bCs/>
          <w:i/>
          <w:color w:val="0d0d0d" w:themeColor="text1" w:themeTint="F2"/>
          <w:sz w:val="24"/>
          <w:szCs w:val="24"/>
        </w:rPr>
      </w:pPr>
      <w:r>
        <w:rPr>
          <w:rFonts w:ascii="Segoe UI" w:hAnsi="Segoe UI" w:eastAsia="Segoe UI" w:cs="Segoe UI"/>
          <w:i/>
          <w:iCs/>
          <w:color w:val="0d0d0d" w:themeColor="text1" w:themeTint="F2"/>
          <w:sz w:val="24"/>
          <w:szCs w:val="24"/>
          <w:highlight w:val="none"/>
        </w:rPr>
        <w:t xml:space="preserve">для комнаты – 10 кв.м.;</w:t>
      </w:r>
      <w:r>
        <w:rPr>
          <w:rFonts w:ascii="Segoe UI" w:hAnsi="Segoe UI" w:cs="Segoe UI"/>
          <w:bCs/>
          <w:i/>
          <w:color w:val="0d0d0d" w:themeColor="text1" w:themeTint="F2"/>
          <w:sz w:val="24"/>
          <w:szCs w:val="24"/>
        </w:rPr>
      </w:r>
      <w:r>
        <w:rPr>
          <w:rFonts w:ascii="Segoe UI" w:hAnsi="Segoe UI" w:cs="Segoe UI"/>
          <w:bCs/>
          <w:i/>
          <w:color w:val="0d0d0d" w:themeColor="text1" w:themeTint="F2"/>
          <w:sz w:val="24"/>
          <w:szCs w:val="24"/>
        </w:rPr>
      </w:r>
    </w:p>
    <w:p>
      <w:pPr>
        <w:pStyle w:val="840"/>
        <w:numPr>
          <w:ilvl w:val="0"/>
          <w:numId w:val="1"/>
        </w:numPr>
        <w:jc w:val="both"/>
        <w:spacing w:line="276" w:lineRule="auto"/>
        <w:rPr>
          <w:rFonts w:ascii="Segoe UI" w:hAnsi="Segoe UI" w:cs="Segoe UI"/>
          <w:b w:val="0"/>
          <w:bCs w:val="0"/>
          <w:i/>
          <w:color w:val="0d0d0d" w:themeColor="text1" w:themeTint="F2"/>
          <w:sz w:val="24"/>
          <w:szCs w:val="24"/>
        </w:rPr>
      </w:pPr>
      <w:r>
        <w:rPr>
          <w:rFonts w:ascii="Segoe UI" w:hAnsi="Segoe UI" w:eastAsia="Segoe UI" w:cs="Segoe UI"/>
          <w:i/>
          <w:iCs/>
          <w:color w:val="0d0d0d" w:themeColor="text1" w:themeTint="F2"/>
          <w:sz w:val="24"/>
          <w:szCs w:val="24"/>
          <w:highlight w:val="none"/>
        </w:rPr>
        <w:t xml:space="preserve">для жилого дома – 50 кв.м.</w:t>
      </w:r>
      <w:r>
        <w:rPr>
          <w:rFonts w:ascii="Segoe UI" w:hAnsi="Segoe UI" w:eastAsia="Segoe UI" w:cs="Segoe UI"/>
          <w:i/>
          <w:iCs/>
          <w:color w:val="0d0d0d" w:themeColor="text1" w:themeTint="F2"/>
          <w:sz w:val="24"/>
          <w:szCs w:val="24"/>
          <w:highlight w:val="none"/>
        </w:rPr>
        <w:t xml:space="preserve"> » </w:t>
      </w:r>
      <w:r>
        <w:rPr>
          <w:rFonts w:ascii="Segoe UI" w:hAnsi="Segoe UI" w:eastAsia="Segoe UI" w:cs="Segoe UI"/>
          <w:color w:val="000000" w:themeColor="text1"/>
          <w:sz w:val="24"/>
          <w:szCs w:val="24"/>
          <w:highlight w:val="none"/>
        </w:rPr>
        <w:t xml:space="preserve">–</w:t>
      </w:r>
      <w:r>
        <w:rPr>
          <w:rFonts w:ascii="Segoe UI" w:hAnsi="Segoe UI" w:eastAsia="Segoe UI" w:cs="Segoe UI"/>
          <w:i/>
          <w:iCs/>
          <w:color w:val="0d0d0d" w:themeColor="text1" w:themeTint="F2"/>
          <w:sz w:val="24"/>
          <w:szCs w:val="24"/>
          <w:highlight w:val="none"/>
        </w:rPr>
        <w:t xml:space="preserve"> </w:t>
      </w:r>
      <w:r>
        <w:rPr>
          <w:rFonts w:ascii="Segoe UI" w:hAnsi="Segoe UI" w:eastAsia="Segoe UI" w:cs="Segoe UI"/>
          <w:b w:val="0"/>
          <w:bCs w:val="0"/>
          <w:sz w:val="24"/>
          <w:szCs w:val="24"/>
          <w14:ligatures w14:val="none"/>
        </w:rPr>
        <w:t xml:space="preserve">отметила заместитель руководителя управления Росреестра по Свердловской области </w:t>
      </w:r>
      <w:r>
        <w:rPr>
          <w:rFonts w:ascii="Segoe UI" w:hAnsi="Segoe UI" w:eastAsia="Segoe UI" w:cs="Segoe UI"/>
          <w:b/>
          <w:bCs/>
          <w:sz w:val="24"/>
          <w:szCs w:val="24"/>
          <w14:ligatures w14:val="none"/>
        </w:rPr>
        <w:t xml:space="preserve">Лариса Шатунова</w:t>
      </w:r>
      <w:r>
        <w:rPr>
          <w:rFonts w:ascii="Segoe UI" w:hAnsi="Segoe UI" w:eastAsia="Segoe UI" w:cs="Segoe UI"/>
          <w:b w:val="0"/>
          <w:bCs w:val="0"/>
          <w:sz w:val="24"/>
          <w:szCs w:val="24"/>
          <w14:ligatures w14:val="none"/>
        </w:rPr>
        <w:t xml:space="preserve">.</w:t>
      </w:r>
      <w:r>
        <w:rPr>
          <w:rFonts w:ascii="Segoe UI" w:hAnsi="Segoe UI" w:cs="Segoe UI"/>
          <w:b w:val="0"/>
          <w:bCs w:val="0"/>
          <w:i/>
          <w:color w:val="0d0d0d" w:themeColor="text1" w:themeTint="F2"/>
          <w:sz w:val="24"/>
          <w:szCs w:val="24"/>
        </w:rPr>
      </w:r>
      <w:r>
        <w:rPr>
          <w:rFonts w:ascii="Segoe UI" w:hAnsi="Segoe UI" w:cs="Segoe UI"/>
          <w:b w:val="0"/>
          <w:bCs w:val="0"/>
          <w:i/>
          <w:color w:val="0d0d0d" w:themeColor="text1" w:themeTint="F2"/>
          <w:sz w:val="24"/>
          <w:szCs w:val="24"/>
        </w:rPr>
      </w:r>
    </w:p>
    <w:p>
      <w:pPr>
        <w:ind w:firstLine="708"/>
        <w:jc w:val="both"/>
        <w:spacing w:line="276" w:lineRule="auto"/>
        <w:rPr>
          <w:rFonts w:ascii="Segoe UI" w:hAnsi="Segoe UI" w:cs="Segoe UI"/>
          <w:color w:val="0d0d0d" w:themeColor="text1" w:themeTint="F2"/>
          <w:sz w:val="24"/>
          <w:szCs w:val="24"/>
          <w:highlight w:val="none"/>
        </w:rPr>
      </w:pPr>
      <w:r>
        <w:rPr>
          <w:rFonts w:ascii="Segoe UI" w:hAnsi="Segoe UI" w:eastAsia="Segoe UI" w:cs="Segoe UI"/>
          <w:color w:val="0d0d0d" w:themeColor="text1" w:themeTint="F2"/>
          <w:sz w:val="24"/>
          <w:szCs w:val="24"/>
          <w:highlight w:val="none"/>
        </w:rPr>
        <w:t xml:space="preserve">Таким образом, налог уплачивается не со всей кадастровой стоимости объекта, а только с ее части, за вычетом стоимости необлагаемых квадратных метров.</w:t>
      </w:r>
      <w:r>
        <w:rPr>
          <w:rFonts w:ascii="Segoe UI" w:hAnsi="Segoe UI" w:cs="Segoe UI"/>
          <w:color w:val="0d0d0d" w:themeColor="text1" w:themeTint="F2"/>
          <w:sz w:val="24"/>
          <w:szCs w:val="24"/>
          <w:highlight w:val="none"/>
        </w:rPr>
      </w:r>
      <w:r>
        <w:rPr>
          <w:rFonts w:ascii="Segoe UI" w:hAnsi="Segoe UI" w:cs="Segoe UI"/>
          <w:color w:val="0d0d0d" w:themeColor="text1" w:themeTint="F2"/>
          <w:sz w:val="24"/>
          <w:szCs w:val="24"/>
          <w:highlight w:val="none"/>
        </w:rPr>
      </w:r>
    </w:p>
    <w:p>
      <w:pPr>
        <w:ind w:firstLine="708"/>
        <w:jc w:val="both"/>
        <w:spacing w:line="276" w:lineRule="auto"/>
        <w:rPr>
          <w:rFonts w:ascii="Segoe UI" w:hAnsi="Segoe UI" w:cs="Segoe UI"/>
          <w:color w:val="0d0d0d" w:themeColor="text1" w:themeTint="F2"/>
          <w:sz w:val="24"/>
          <w:szCs w:val="24"/>
        </w:rPr>
      </w:pPr>
      <w:r>
        <w:rPr>
          <w:rFonts w:ascii="Segoe UI" w:hAnsi="Segoe UI" w:eastAsia="Segoe UI" w:cs="Segoe UI"/>
          <w:color w:val="0d0d0d" w:themeColor="text1" w:themeTint="F2"/>
          <w:sz w:val="24"/>
          <w:szCs w:val="24"/>
          <w:highlight w:val="none"/>
        </w:rPr>
        <w:t xml:space="preserve">Например, общая площадь квартиры составляет 50 кв.м. Кадастровая стоимость этой квартиры согласно сведениям ЕГРН по состоянию на 01.01.2024 составляет 4 млн.руб. </w:t>
      </w:r>
      <w:r>
        <w:rPr>
          <w:rFonts w:ascii="Segoe UI" w:hAnsi="Segoe UI" w:cs="Segoe UI"/>
          <w:color w:val="0d0d0d" w:themeColor="text1" w:themeTint="F2"/>
          <w:sz w:val="24"/>
          <w:szCs w:val="24"/>
        </w:rPr>
      </w:r>
      <w:r>
        <w:rPr>
          <w:rFonts w:ascii="Segoe UI" w:hAnsi="Segoe UI" w:cs="Segoe UI"/>
          <w:color w:val="0d0d0d" w:themeColor="text1" w:themeTint="F2"/>
          <w:sz w:val="24"/>
          <w:szCs w:val="24"/>
        </w:rPr>
      </w:r>
    </w:p>
    <w:p>
      <w:pPr>
        <w:ind w:firstLine="708"/>
        <w:jc w:val="both"/>
        <w:spacing w:line="276" w:lineRule="auto"/>
        <w:rPr>
          <w:rFonts w:ascii="Segoe UI" w:hAnsi="Segoe UI" w:cs="Segoe UI"/>
          <w:color w:val="0d0d0d" w:themeColor="text1" w:themeTint="F2"/>
          <w:sz w:val="24"/>
          <w:szCs w:val="24"/>
        </w:rPr>
      </w:pPr>
      <w:r>
        <w:rPr>
          <w:rFonts w:ascii="Segoe UI" w:hAnsi="Segoe UI" w:eastAsia="Segoe UI" w:cs="Segoe UI"/>
          <w:color w:val="0d0d0d" w:themeColor="text1" w:themeTint="F2"/>
          <w:sz w:val="24"/>
          <w:szCs w:val="24"/>
          <w:highlight w:val="none"/>
        </w:rPr>
        <w:t xml:space="preserve">Налоговая база квартиры за налоговый период 2024 г. за вычетом  </w:t>
        <w:br/>
        <w:t xml:space="preserve">20 необлагаемых налогом квадратных метров составит: </w:t>
      </w:r>
      <w:r>
        <w:rPr>
          <w:rFonts w:ascii="Segoe UI" w:hAnsi="Segoe UI" w:cs="Segoe UI"/>
          <w:color w:val="0d0d0d" w:themeColor="text1" w:themeTint="F2"/>
          <w:sz w:val="24"/>
          <w:szCs w:val="24"/>
        </w:rPr>
      </w:r>
      <w:r>
        <w:rPr>
          <w:rFonts w:ascii="Segoe UI" w:hAnsi="Segoe UI" w:cs="Segoe UI"/>
          <w:color w:val="0d0d0d" w:themeColor="text1" w:themeTint="F2"/>
          <w:sz w:val="24"/>
          <w:szCs w:val="24"/>
        </w:rPr>
      </w:r>
    </w:p>
    <w:p>
      <w:pPr>
        <w:jc w:val="both"/>
        <w:spacing w:line="276" w:lineRule="auto"/>
        <w:rPr>
          <w:rFonts w:ascii="Segoe UI" w:hAnsi="Segoe UI" w:cs="Segoe UI"/>
          <w:color w:val="0d0d0d" w:themeColor="text1" w:themeTint="F2"/>
          <w:sz w:val="24"/>
          <w:szCs w:val="24"/>
          <w:highlight w:val="none"/>
        </w:rPr>
      </w:pPr>
      <w:r>
        <w:rPr>
          <w:rFonts w:ascii="Segoe UI" w:hAnsi="Segoe UI" w:eastAsia="Segoe UI" w:cs="Segoe UI"/>
          <w:color w:val="0d0d0d" w:themeColor="text1" w:themeTint="F2"/>
          <w:sz w:val="24"/>
          <w:szCs w:val="24"/>
          <w:highlight w:val="none"/>
        </w:rPr>
        <w:t xml:space="preserve">(4 млн.руб. / 50 кв.м) * (50 кв.м - 20 кв.м) = 2,4 млн.руб.</w:t>
      </w:r>
      <w:r>
        <w:rPr>
          <w:rFonts w:ascii="Segoe UI" w:hAnsi="Segoe UI" w:cs="Segoe UI"/>
          <w:color w:val="0d0d0d" w:themeColor="text1" w:themeTint="F2"/>
          <w:sz w:val="24"/>
          <w:szCs w:val="24"/>
          <w:highlight w:val="none"/>
        </w:rPr>
      </w:r>
      <w:r>
        <w:rPr>
          <w:rFonts w:ascii="Segoe UI" w:hAnsi="Segoe UI" w:cs="Segoe UI"/>
          <w:color w:val="0d0d0d" w:themeColor="text1" w:themeTint="F2"/>
          <w:sz w:val="24"/>
          <w:szCs w:val="24"/>
          <w:highlight w:val="none"/>
        </w:rPr>
      </w:r>
    </w:p>
    <w:p>
      <w:pPr>
        <w:ind w:firstLine="708"/>
        <w:jc w:val="both"/>
        <w:spacing w:line="276" w:lineRule="auto"/>
        <w:rPr>
          <w:rFonts w:ascii="Segoe UI" w:hAnsi="Segoe UI" w:cs="Segoe UI"/>
          <w:color w:val="0d0d0d" w:themeColor="text1" w:themeTint="F2"/>
          <w:sz w:val="24"/>
          <w:szCs w:val="24"/>
          <w:highlight w:val="none"/>
        </w:rPr>
      </w:pPr>
      <w:r>
        <w:rPr>
          <w:rFonts w:ascii="Segoe UI" w:hAnsi="Segoe UI" w:eastAsia="Segoe UI" w:cs="Segoe UI"/>
          <w:color w:val="0d0d0d" w:themeColor="text1" w:themeTint="F2"/>
          <w:sz w:val="24"/>
          <w:szCs w:val="24"/>
          <w:highlight w:val="none"/>
        </w:rPr>
      </w:r>
      <w:r>
        <w:rPr>
          <w:rFonts w:ascii="Segoe UI" w:hAnsi="Segoe UI" w:eastAsia="Segoe UI" w:cs="Segoe UI"/>
          <w:color w:val="0d0d0d" w:themeColor="text1" w:themeTint="F2"/>
          <w:sz w:val="24"/>
          <w:szCs w:val="24"/>
          <w:highlight w:val="none"/>
        </w:rPr>
        <w:t xml:space="preserve">Именно эта сумма — 2,4 млн рублей — будет указана в налоговом уведомлении как база для расчета налога, а не полная кадастровая стоимость в </w:t>
        <w:br/>
        <w:t xml:space="preserve">4 млн рублей.</w:t>
      </w:r>
      <w:r>
        <w:rPr>
          <w:rFonts w:ascii="Segoe UI" w:hAnsi="Segoe UI" w:cs="Segoe UI"/>
          <w:color w:val="0d0d0d" w:themeColor="text1" w:themeTint="F2"/>
          <w:sz w:val="24"/>
          <w:szCs w:val="24"/>
          <w:highlight w:val="none"/>
        </w:rPr>
      </w:r>
      <w:r>
        <w:rPr>
          <w:rFonts w:ascii="Segoe UI" w:hAnsi="Segoe UI" w:cs="Segoe UI"/>
          <w:color w:val="0d0d0d" w:themeColor="text1" w:themeTint="F2"/>
          <w:sz w:val="24"/>
          <w:szCs w:val="24"/>
          <w:highlight w:val="none"/>
        </w:rPr>
      </w:r>
    </w:p>
    <w:p>
      <w:pPr>
        <w:ind w:firstLine="708"/>
        <w:jc w:val="both"/>
        <w:spacing w:line="276" w:lineRule="auto"/>
        <w:rPr>
          <w:rFonts w:ascii="Segoe UI" w:hAnsi="Segoe UI" w:eastAsia="Segoe UI" w:cs="Segoe UI"/>
          <w:color w:val="0d0d0d" w:themeColor="text1" w:themeTint="F2"/>
          <w:sz w:val="24"/>
          <w:szCs w:val="24"/>
          <w:highlight w:val="none"/>
        </w:rPr>
      </w:pPr>
      <w:r>
        <w:rPr>
          <w:rFonts w:ascii="Segoe UI" w:hAnsi="Segoe UI" w:eastAsia="Segoe UI" w:cs="Segoe UI"/>
          <w:color w:val="0d0d0d" w:themeColor="text1" w:themeTint="F2"/>
          <w:sz w:val="24"/>
          <w:szCs w:val="24"/>
          <w:highlight w:val="none"/>
        </w:rPr>
        <w:t xml:space="preserve">Напоминаем, что </w:t>
      </w:r>
      <w:r>
        <w:rPr>
          <w:rFonts w:ascii="Segoe UI" w:hAnsi="Segoe UI" w:eastAsia="Segoe UI" w:cs="Segoe UI"/>
          <w:color w:val="0d0d0d" w:themeColor="text1" w:themeTint="F2"/>
          <w:sz w:val="24"/>
          <w:szCs w:val="24"/>
          <w:highlight w:val="none"/>
        </w:rPr>
        <w:t xml:space="preserve">все актуальные сведения о кадастровой стоимости объектов недвижимости содержатся в Едином государственном реестре недвижимости (ЕГРН). Ознакомиться с ними можно через портал Росреестра или с помощью публичной кадастровой карты.</w:t>
      </w:r>
      <w:r>
        <w:rPr>
          <w:rFonts w:ascii="Segoe UI" w:hAnsi="Segoe UI" w:eastAsia="Segoe UI" w:cs="Segoe UI"/>
          <w:color w:val="0d0d0d" w:themeColor="text1" w:themeTint="F2"/>
          <w:sz w:val="24"/>
          <w:szCs w:val="24"/>
          <w:highlight w:val="none"/>
        </w:rPr>
      </w:r>
      <w:r>
        <w:rPr>
          <w:rFonts w:ascii="Segoe UI" w:hAnsi="Segoe UI" w:eastAsia="Segoe UI" w:cs="Segoe UI"/>
          <w:color w:val="0d0d0d" w:themeColor="text1" w:themeTint="F2"/>
          <w:sz w:val="24"/>
          <w:szCs w:val="24"/>
          <w:highlight w:val="none"/>
        </w:rPr>
      </w:r>
    </w:p>
    <w:p>
      <w:r>
        <w:rPr>
          <w:rFonts w:cs="Times New Roman" w:eastAsiaTheme="minorEastAsia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3607772521" distL="114300" distR="114300" simplePos="0" relativeHeight="25166131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67945</wp:posOffset>
                </wp:positionV>
                <wp:extent cx="6000750" cy="0"/>
                <wp:effectExtent l="0" t="0" r="0" b="0"/>
                <wp:wrapNone/>
                <wp:docPr id="2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rot="0" flipH="0" flipV="0"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o:spt="32" type="#_x0000_t32" style="position:absolute;z-index:251661312;o:allowoverlap:true;o:allowincell:true;mso-position-horizontal-relative:margin;mso-position-horizontal:right;mso-position-vertical-relative:text;margin-top:5.35pt;mso-position-vertical:absolute;width:472.50pt;height:0.00pt;mso-wrap-distance-left:9.00pt;mso-wrap-distance-top:0.00pt;mso-wrap-distance-right:9.00pt;mso-wrap-distance-bottom:-169093.20pt;rotation:0;visibility:visible;" filled="f" strokecolor="#0070C0" strokeweight="1.25pt"/>
            </w:pict>
          </mc:Fallback>
        </mc:AlternateContent>
      </w:r>
      <w:r/>
    </w:p>
    <w:p>
      <w:pPr>
        <w:spacing w:after="0" w:line="240" w:lineRule="auto"/>
        <w:shd w:val="clear" w:color="auto" w:fill="ffffff"/>
        <w:rPr>
          <w:rFonts w:ascii="Segoe UI" w:hAnsi="Segoe UI" w:cs="Segoe UI" w:eastAsiaTheme="minorEastAsia"/>
          <w:b/>
          <w:sz w:val="18"/>
          <w:szCs w:val="18"/>
          <w:lang w:eastAsia="ru-RU"/>
        </w:rPr>
      </w:pPr>
      <w:r>
        <w:rPr>
          <w:rFonts w:ascii="Segoe UI" w:hAnsi="Segoe UI" w:cs="Segoe UI" w:eastAsiaTheme="minorEastAsia"/>
          <w:b/>
          <w:sz w:val="18"/>
          <w:szCs w:val="18"/>
          <w:lang w:eastAsia="ru-RU"/>
        </w:rPr>
        <w:t xml:space="preserve">Контакты для СМИ</w:t>
      </w:r>
      <w:r>
        <w:rPr>
          <w:rFonts w:ascii="Segoe UI" w:hAnsi="Segoe UI" w:cs="Segoe UI" w:eastAsiaTheme="minorEastAsia"/>
          <w:b/>
          <w:sz w:val="18"/>
          <w:szCs w:val="18"/>
          <w:lang w:eastAsia="ru-RU"/>
        </w:rPr>
      </w:r>
      <w:r>
        <w:rPr>
          <w:rFonts w:ascii="Segoe UI" w:hAnsi="Segoe UI" w:cs="Segoe UI" w:eastAsiaTheme="minorEastAsia"/>
          <w:b/>
          <w:sz w:val="18"/>
          <w:szCs w:val="18"/>
          <w:lang w:eastAsia="ru-RU"/>
        </w:rPr>
      </w:r>
    </w:p>
    <w:p>
      <w:pPr>
        <w:spacing w:after="0" w:line="240" w:lineRule="auto"/>
        <w:shd w:val="clear" w:color="auto" w:fill="ffffff"/>
        <w:rPr>
          <w:rFonts w:ascii="Segoe UI" w:hAnsi="Segoe UI" w:cs="Segoe UI" w:eastAsiaTheme="minorEastAsia"/>
          <w:sz w:val="18"/>
          <w:szCs w:val="18"/>
          <w:lang w:eastAsia="ru-RU"/>
        </w:rPr>
      </w:pPr>
      <w:r>
        <w:rPr>
          <w:rFonts w:ascii="Segoe UI" w:hAnsi="Segoe UI" w:cs="Segoe UI" w:eastAsiaTheme="minorEastAsia"/>
          <w:sz w:val="18"/>
          <w:szCs w:val="18"/>
          <w:lang w:eastAsia="ru-RU"/>
        </w:rPr>
        <w:t xml:space="preserve">Пресс-служба Управления Росреестра по Свердловской области </w:t>
      </w:r>
      <w:r>
        <w:rPr>
          <w:rFonts w:ascii="Segoe UI" w:hAnsi="Segoe UI" w:cs="Segoe UI" w:eastAsiaTheme="minorEastAsia"/>
          <w:sz w:val="18"/>
          <w:szCs w:val="18"/>
          <w:lang w:eastAsia="ru-RU"/>
        </w:rPr>
      </w:r>
      <w:r>
        <w:rPr>
          <w:rFonts w:ascii="Segoe UI" w:hAnsi="Segoe UI" w:cs="Segoe UI" w:eastAsiaTheme="minorEastAsia"/>
          <w:sz w:val="18"/>
          <w:szCs w:val="18"/>
          <w:lang w:eastAsia="ru-RU"/>
        </w:rPr>
      </w:r>
    </w:p>
    <w:p>
      <w:pPr>
        <w:jc w:val="both"/>
        <w:spacing w:after="0" w:line="240" w:lineRule="auto"/>
        <w:rPr>
          <w:rFonts w:ascii="Segoe UI" w:hAnsi="Segoe UI" w:cs="Segoe UI" w:eastAsiaTheme="minorEastAsia"/>
          <w:color w:val="000000"/>
          <w:sz w:val="18"/>
          <w:szCs w:val="18"/>
          <w:lang w:eastAsia="ru-RU"/>
        </w:rPr>
      </w:pPr>
      <w:r>
        <w:rPr>
          <w:rFonts w:ascii="Segoe UI" w:hAnsi="Segoe UI" w:cs="Segoe UI" w:eastAsiaTheme="minorEastAsia"/>
          <w:sz w:val="18"/>
          <w:szCs w:val="18"/>
          <w:lang w:eastAsia="ru-RU"/>
        </w:rPr>
        <w:t xml:space="preserve">+7 343</w:t>
      </w:r>
      <w:r>
        <w:rPr>
          <w:rFonts w:ascii="Segoe UI" w:hAnsi="Segoe UI" w:cs="Segoe UI" w:eastAsiaTheme="minorEastAsia"/>
          <w:sz w:val="18"/>
          <w:szCs w:val="18"/>
          <w:lang w:val="en-US" w:eastAsia="ru-RU"/>
        </w:rPr>
        <w:t xml:space="preserve"> </w:t>
      </w:r>
      <w:r>
        <w:rPr>
          <w:rFonts w:ascii="Segoe UI" w:hAnsi="Segoe UI" w:cs="Segoe UI" w:eastAsiaTheme="minorEastAsia"/>
          <w:sz w:val="18"/>
          <w:szCs w:val="18"/>
          <w:lang w:eastAsia="ru-RU"/>
        </w:rPr>
        <w:t xml:space="preserve">375 40 </w:t>
      </w:r>
      <w:r>
        <w:rPr>
          <w:rFonts w:ascii="Segoe UI" w:hAnsi="Segoe UI" w:cs="Segoe UI" w:eastAsiaTheme="minorEastAsia"/>
          <w:color w:val="000000"/>
          <w:sz w:val="18"/>
          <w:szCs w:val="18"/>
          <w:lang w:eastAsia="ru-RU"/>
        </w:rPr>
        <w:t xml:space="preserve">81 </w:t>
      </w:r>
      <w:r>
        <w:rPr>
          <w:rFonts w:ascii="Segoe UI" w:hAnsi="Segoe UI" w:cs="Segoe UI" w:eastAsiaTheme="minorEastAsia"/>
          <w:color w:val="000000"/>
          <w:sz w:val="18"/>
          <w:szCs w:val="18"/>
          <w:lang w:eastAsia="ru-RU"/>
        </w:rPr>
      </w:r>
      <w:r>
        <w:rPr>
          <w:rFonts w:ascii="Segoe UI" w:hAnsi="Segoe UI" w:cs="Segoe UI" w:eastAsiaTheme="minorEastAsia"/>
          <w:color w:val="000000"/>
          <w:sz w:val="18"/>
          <w:szCs w:val="18"/>
          <w:lang w:eastAsia="ru-RU"/>
        </w:rPr>
      </w:r>
    </w:p>
    <w:p>
      <w:pPr>
        <w:jc w:val="both"/>
        <w:spacing w:after="0" w:line="240" w:lineRule="auto"/>
        <w:rPr>
          <w:rFonts w:ascii="Segoe UI" w:hAnsi="Segoe UI" w:cs="Segoe UI" w:eastAsiaTheme="minorEastAsia"/>
          <w:color w:val="000000"/>
          <w:sz w:val="18"/>
          <w:szCs w:val="18"/>
          <w:lang w:eastAsia="ru-RU"/>
        </w:rPr>
      </w:pPr>
      <w:r>
        <w:rPr>
          <w:rFonts w:ascii="Segoe UI" w:hAnsi="Segoe UI" w:cs="Segoe UI" w:eastAsiaTheme="minorEastAsia"/>
          <w:color w:val="000000"/>
          <w:sz w:val="18"/>
          <w:szCs w:val="18"/>
          <w:lang w:eastAsia="ru-RU"/>
        </w:rPr>
      </w:r>
      <w:r>
        <w:rPr>
          <w:rFonts w:ascii="Segoe UI" w:hAnsi="Segoe UI" w:cs="Segoe UI" w:eastAsiaTheme="minorEastAsia"/>
          <w:color w:val="000000"/>
          <w:sz w:val="18"/>
          <w:szCs w:val="18"/>
          <w:lang w:eastAsia="ru-RU"/>
        </w:rPr>
      </w:r>
      <w:r>
        <w:rPr>
          <w:rFonts w:ascii="Segoe UI" w:hAnsi="Segoe UI" w:cs="Segoe UI" w:eastAsiaTheme="minorEastAsia"/>
          <w:color w:val="000000"/>
          <w:sz w:val="18"/>
          <w:szCs w:val="18"/>
          <w:lang w:eastAsia="ru-RU"/>
        </w:rPr>
      </w:r>
    </w:p>
    <w:p>
      <w:pPr>
        <w:jc w:val="both"/>
        <w:spacing w:after="0" w:line="240" w:lineRule="auto"/>
        <w:rPr>
          <w:rFonts w:ascii="Segoe UI" w:hAnsi="Segoe UI" w:cs="Segoe UI" w:eastAsiaTheme="minorEastAsia"/>
          <w:color w:val="000000"/>
          <w:sz w:val="18"/>
          <w:szCs w:val="18"/>
          <w:lang w:eastAsia="ru-RU"/>
        </w:rPr>
      </w:pPr>
      <w:r/>
      <w:hyperlink r:id="rId10" w:tooltip="mailto::press66_rosreestr@mail.ru" w:history="1">
        <w:r>
          <w:rPr>
            <w:rFonts w:ascii="Segoe UI" w:hAnsi="Segoe UI" w:cs="Segoe UI" w:eastAsiaTheme="minorEastAsia"/>
            <w:color w:val="000000"/>
            <w:sz w:val="18"/>
            <w:szCs w:val="18"/>
            <w:u w:val="single"/>
            <w:lang w:val="en-US" w:eastAsia="ru-RU"/>
          </w:rPr>
          <w:t xml:space="preserve">press</w:t>
        </w:r>
        <w:r>
          <w:rPr>
            <w:rFonts w:ascii="Segoe UI" w:hAnsi="Segoe UI" w:cs="Segoe UI" w:eastAsiaTheme="minorEastAsia"/>
            <w:color w:val="000000"/>
            <w:sz w:val="18"/>
            <w:szCs w:val="18"/>
            <w:u w:val="single"/>
            <w:lang w:eastAsia="ru-RU"/>
          </w:rPr>
          <w:t xml:space="preserve">66_</w:t>
        </w:r>
        <w:r>
          <w:rPr>
            <w:rFonts w:ascii="Segoe UI" w:hAnsi="Segoe UI" w:cs="Segoe UI" w:eastAsiaTheme="minorEastAsia"/>
            <w:color w:val="000000"/>
            <w:sz w:val="18"/>
            <w:szCs w:val="18"/>
            <w:u w:val="single"/>
            <w:lang w:val="en-US" w:eastAsia="ru-RU"/>
          </w:rPr>
          <w:t xml:space="preserve">rosreestr</w:t>
        </w:r>
        <w:r>
          <w:rPr>
            <w:rFonts w:ascii="Segoe UI" w:hAnsi="Segoe UI" w:cs="Segoe UI" w:eastAsiaTheme="minorEastAsia"/>
            <w:color w:val="000000"/>
            <w:sz w:val="18"/>
            <w:szCs w:val="18"/>
            <w:u w:val="single"/>
            <w:lang w:eastAsia="ru-RU"/>
          </w:rPr>
          <w:t xml:space="preserve">@</w:t>
        </w:r>
        <w:r>
          <w:rPr>
            <w:rFonts w:ascii="Segoe UI" w:hAnsi="Segoe UI" w:cs="Segoe UI" w:eastAsiaTheme="minorEastAsia"/>
            <w:color w:val="000000"/>
            <w:sz w:val="18"/>
            <w:szCs w:val="18"/>
            <w:u w:val="single"/>
            <w:lang w:val="en-US" w:eastAsia="ru-RU"/>
          </w:rPr>
          <w:t xml:space="preserve">mail</w:t>
        </w:r>
        <w:r>
          <w:rPr>
            <w:rFonts w:ascii="Segoe UI" w:hAnsi="Segoe UI" w:cs="Segoe UI" w:eastAsiaTheme="minorEastAsia"/>
            <w:color w:val="000000"/>
            <w:sz w:val="18"/>
            <w:szCs w:val="18"/>
            <w:u w:val="single"/>
            <w:lang w:eastAsia="ru-RU"/>
          </w:rPr>
          <w:t xml:space="preserve">.</w:t>
        </w:r>
        <w:r>
          <w:rPr>
            <w:rFonts w:ascii="Segoe UI" w:hAnsi="Segoe UI" w:cs="Segoe UI" w:eastAsiaTheme="minorEastAsia"/>
            <w:color w:val="000000"/>
            <w:sz w:val="18"/>
            <w:szCs w:val="18"/>
            <w:u w:val="single"/>
            <w:lang w:val="en-US" w:eastAsia="ru-RU"/>
          </w:rPr>
          <w:t xml:space="preserve">ru</w:t>
        </w:r>
      </w:hyperlink>
      <w:r>
        <w:rPr>
          <w:rFonts w:ascii="Segoe UI" w:hAnsi="Segoe UI" w:cs="Segoe UI" w:eastAsiaTheme="minorEastAsia"/>
          <w:color w:val="000000"/>
          <w:sz w:val="18"/>
          <w:szCs w:val="18"/>
          <w:lang w:eastAsia="ru-RU"/>
        </w:rPr>
      </w:r>
      <w:r>
        <w:rPr>
          <w:rFonts w:ascii="Segoe UI" w:hAnsi="Segoe UI" w:cs="Segoe UI" w:eastAsiaTheme="minorEastAsia"/>
          <w:color w:val="000000"/>
          <w:sz w:val="18"/>
          <w:szCs w:val="18"/>
          <w:lang w:eastAsia="ru-RU"/>
        </w:rPr>
      </w:r>
    </w:p>
    <w:p>
      <w:pPr>
        <w:jc w:val="both"/>
        <w:spacing w:after="0" w:line="240" w:lineRule="auto"/>
        <w:rPr>
          <w:rFonts w:ascii="Segoe UI" w:hAnsi="Segoe UI" w:cs="Segoe UI" w:eastAsiaTheme="minorEastAsia"/>
          <w:color w:val="000000"/>
          <w:sz w:val="18"/>
          <w:szCs w:val="18"/>
          <w:lang w:eastAsia="ru-RU"/>
        </w:rPr>
      </w:pPr>
      <w:r/>
      <w:hyperlink r:id="rId11" w:tooltip="http://www.rosreestr.gov.ru" w:history="1">
        <w:r>
          <w:rPr>
            <w:rFonts w:ascii="Segoe UI" w:hAnsi="Segoe UI" w:cs="Segoe UI" w:eastAsiaTheme="minorEastAsia"/>
            <w:color w:val="0000ff"/>
            <w:sz w:val="18"/>
            <w:szCs w:val="18"/>
            <w:u w:val="single"/>
            <w:lang w:val="en-US" w:eastAsia="ru-RU"/>
          </w:rPr>
          <w:t xml:space="preserve">www</w:t>
        </w:r>
        <w:r>
          <w:rPr>
            <w:rFonts w:ascii="Segoe UI" w:hAnsi="Segoe UI" w:cs="Segoe UI" w:eastAsiaTheme="minorEastAsia"/>
            <w:color w:val="0000ff"/>
            <w:sz w:val="18"/>
            <w:szCs w:val="18"/>
            <w:u w:val="single"/>
            <w:lang w:eastAsia="ru-RU"/>
          </w:rPr>
          <w:t xml:space="preserve">.</w:t>
        </w:r>
        <w:r>
          <w:rPr>
            <w:rFonts w:ascii="Segoe UI" w:hAnsi="Segoe UI" w:cs="Segoe UI" w:eastAsiaTheme="minorEastAsia"/>
            <w:color w:val="0000ff"/>
            <w:sz w:val="18"/>
            <w:szCs w:val="18"/>
            <w:u w:val="single"/>
            <w:lang w:val="en-US" w:eastAsia="ru-RU"/>
          </w:rPr>
          <w:t xml:space="preserve">rosreestr</w:t>
        </w:r>
        <w:r>
          <w:rPr>
            <w:rFonts w:ascii="Segoe UI" w:hAnsi="Segoe UI" w:cs="Segoe UI" w:eastAsiaTheme="minorEastAsia"/>
            <w:color w:val="0000ff"/>
            <w:sz w:val="18"/>
            <w:szCs w:val="18"/>
            <w:u w:val="single"/>
            <w:lang w:eastAsia="ru-RU"/>
          </w:rPr>
          <w:t xml:space="preserve">.</w:t>
        </w:r>
        <w:r>
          <w:rPr>
            <w:rFonts w:ascii="Segoe UI" w:hAnsi="Segoe UI" w:cs="Segoe UI" w:eastAsiaTheme="minorEastAsia"/>
            <w:color w:val="0000ff"/>
            <w:sz w:val="18"/>
            <w:szCs w:val="18"/>
            <w:u w:val="single"/>
            <w:lang w:val="en-US" w:eastAsia="ru-RU"/>
          </w:rPr>
          <w:t xml:space="preserve">gov</w:t>
        </w:r>
        <w:r>
          <w:rPr>
            <w:rFonts w:ascii="Segoe UI" w:hAnsi="Segoe UI" w:cs="Segoe UI" w:eastAsiaTheme="minorEastAsia"/>
            <w:color w:val="0000ff"/>
            <w:sz w:val="18"/>
            <w:szCs w:val="18"/>
            <w:u w:val="single"/>
            <w:lang w:eastAsia="ru-RU"/>
          </w:rPr>
          <w:t xml:space="preserve">.</w:t>
        </w:r>
        <w:r>
          <w:rPr>
            <w:rFonts w:ascii="Segoe UI" w:hAnsi="Segoe UI" w:cs="Segoe UI" w:eastAsiaTheme="minorEastAsia"/>
            <w:color w:val="0000ff"/>
            <w:sz w:val="18"/>
            <w:szCs w:val="18"/>
            <w:u w:val="single"/>
            <w:lang w:val="en-US" w:eastAsia="ru-RU"/>
          </w:rPr>
          <w:t xml:space="preserve">ru</w:t>
        </w:r>
      </w:hyperlink>
      <w:r>
        <w:rPr>
          <w:rFonts w:ascii="Segoe UI" w:hAnsi="Segoe UI" w:cs="Segoe UI" w:eastAsiaTheme="minorEastAsia"/>
          <w:color w:val="000000"/>
          <w:sz w:val="18"/>
          <w:szCs w:val="18"/>
          <w:lang w:eastAsia="ru-RU"/>
        </w:rPr>
      </w:r>
      <w:r>
        <w:rPr>
          <w:rFonts w:ascii="Segoe UI" w:hAnsi="Segoe UI" w:cs="Segoe UI" w:eastAsiaTheme="minorEastAsia"/>
          <w:color w:val="000000"/>
          <w:sz w:val="18"/>
          <w:szCs w:val="18"/>
          <w:lang w:eastAsia="ru-RU"/>
        </w:rPr>
      </w:r>
    </w:p>
    <w:p>
      <w:pPr>
        <w:jc w:val="both"/>
        <w:spacing w:after="0" w:line="240" w:lineRule="auto"/>
        <w:rPr>
          <w:rFonts w:ascii="Segoe UI" w:hAnsi="Segoe UI" w:cs="Segoe UI" w:eastAsiaTheme="minorEastAsia"/>
          <w:color w:val="000000"/>
          <w:sz w:val="18"/>
          <w:szCs w:val="18"/>
          <w:lang w:eastAsia="ru-RU"/>
        </w:rPr>
      </w:pPr>
      <w:r>
        <w:rPr>
          <w:rFonts w:ascii="Segoe UI" w:hAnsi="Segoe UI" w:cs="Segoe UI" w:eastAsiaTheme="minorEastAsia"/>
          <w:color w:val="000000"/>
          <w:sz w:val="18"/>
          <w:szCs w:val="18"/>
          <w:lang w:eastAsia="ru-RU"/>
        </w:rPr>
        <w:t xml:space="preserve">620062, г. Екатеринбург, ул. Генеральская, 6 а.</w:t>
      </w:r>
      <w:r>
        <w:rPr>
          <w:rFonts w:ascii="Segoe UI" w:hAnsi="Segoe UI" w:cs="Segoe UI" w:eastAsiaTheme="minorEastAsia"/>
          <w:color w:val="000000"/>
          <w:sz w:val="18"/>
          <w:szCs w:val="18"/>
          <w:lang w:eastAsia="ru-RU"/>
        </w:rPr>
      </w:r>
      <w:r>
        <w:rPr>
          <w:rFonts w:ascii="Segoe UI" w:hAnsi="Segoe UI" w:cs="Segoe UI" w:eastAsiaTheme="minorEastAsia"/>
          <w:color w:val="000000"/>
          <w:sz w:val="18"/>
          <w:szCs w:val="18"/>
          <w:lang w:eastAsia="ru-RU"/>
        </w:rPr>
      </w:r>
    </w:p>
    <w:p>
      <w:pPr>
        <w:ind w:firstLine="0"/>
        <w:jc w:val="left"/>
        <w:spacing w:line="276" w:lineRule="auto"/>
        <w:rPr>
          <w:rFonts w:ascii="Segoe UI" w:hAnsi="Segoe UI" w:cs="Segoe UI"/>
          <w:color w:val="0d0d0d" w:themeColor="text1" w:themeTint="F2"/>
          <w:sz w:val="24"/>
          <w:szCs w:val="24"/>
          <w:highlight w:val="none"/>
        </w:rPr>
      </w:pPr>
      <w:r>
        <w:rPr>
          <w:rFonts w:ascii="Segoe UI" w:hAnsi="Segoe UI" w:eastAsia="Segoe UI" w:cs="Segoe UI"/>
          <w:color w:val="0d0d0d" w:themeColor="text1" w:themeTint="F2"/>
          <w:sz w:val="24"/>
          <w:szCs w:val="24"/>
          <w:highlight w:val="none"/>
        </w:rPr>
      </w:r>
      <w:r>
        <w:rPr>
          <w:rFonts w:ascii="Segoe UI" w:hAnsi="Segoe UI" w:cs="Segoe UI"/>
          <w:color w:val="0d0d0d" w:themeColor="text1" w:themeTint="F2"/>
          <w:sz w:val="24"/>
          <w:szCs w:val="24"/>
          <w:highlight w:val="none"/>
        </w:rPr>
      </w:r>
      <w:r>
        <w:rPr>
          <w:rFonts w:ascii="Segoe UI" w:hAnsi="Segoe UI" w:cs="Segoe UI"/>
          <w:color w:val="0d0d0d" w:themeColor="text1" w:themeTint="F2"/>
          <w:sz w:val="24"/>
          <w:szCs w:val="24"/>
          <w:highlight w:val="none"/>
        </w:rPr>
      </w:r>
    </w:p>
    <w:p>
      <w:pPr>
        <w:jc w:val="center"/>
      </w:pPr>
      <w:r>
        <w:rPr>
          <w:highlight w:val="none"/>
        </w:rPr>
      </w:r>
      <w:r>
        <w:rPr>
          <w:highlight w:val="none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Times New Roman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0">
    <w:name w:val="Heading 1"/>
    <w:basedOn w:val="836"/>
    <w:next w:val="836"/>
    <w:link w:val="66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1">
    <w:name w:val="Heading 1 Char"/>
    <w:link w:val="660"/>
    <w:uiPriority w:val="9"/>
    <w:rPr>
      <w:rFonts w:ascii="Arial" w:hAnsi="Arial" w:eastAsia="Arial" w:cs="Arial"/>
      <w:sz w:val="40"/>
      <w:szCs w:val="40"/>
    </w:rPr>
  </w:style>
  <w:style w:type="paragraph" w:styleId="662">
    <w:name w:val="Heading 2"/>
    <w:basedOn w:val="836"/>
    <w:next w:val="836"/>
    <w:link w:val="66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3">
    <w:name w:val="Heading 2 Char"/>
    <w:link w:val="662"/>
    <w:uiPriority w:val="9"/>
    <w:rPr>
      <w:rFonts w:ascii="Arial" w:hAnsi="Arial" w:eastAsia="Arial" w:cs="Arial"/>
      <w:sz w:val="34"/>
    </w:rPr>
  </w:style>
  <w:style w:type="paragraph" w:styleId="664">
    <w:name w:val="Heading 3"/>
    <w:basedOn w:val="836"/>
    <w:next w:val="836"/>
    <w:link w:val="66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5">
    <w:name w:val="Heading 3 Char"/>
    <w:link w:val="664"/>
    <w:uiPriority w:val="9"/>
    <w:rPr>
      <w:rFonts w:ascii="Arial" w:hAnsi="Arial" w:eastAsia="Arial" w:cs="Arial"/>
      <w:sz w:val="30"/>
      <w:szCs w:val="30"/>
    </w:rPr>
  </w:style>
  <w:style w:type="paragraph" w:styleId="666">
    <w:name w:val="Heading 4"/>
    <w:basedOn w:val="836"/>
    <w:next w:val="836"/>
    <w:link w:val="66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7">
    <w:name w:val="Heading 4 Char"/>
    <w:link w:val="666"/>
    <w:uiPriority w:val="9"/>
    <w:rPr>
      <w:rFonts w:ascii="Arial" w:hAnsi="Arial" w:eastAsia="Arial" w:cs="Arial"/>
      <w:b/>
      <w:bCs/>
      <w:sz w:val="26"/>
      <w:szCs w:val="26"/>
    </w:rPr>
  </w:style>
  <w:style w:type="paragraph" w:styleId="668">
    <w:name w:val="Heading 5"/>
    <w:basedOn w:val="836"/>
    <w:next w:val="836"/>
    <w:link w:val="66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9">
    <w:name w:val="Heading 5 Char"/>
    <w:link w:val="668"/>
    <w:uiPriority w:val="9"/>
    <w:rPr>
      <w:rFonts w:ascii="Arial" w:hAnsi="Arial" w:eastAsia="Arial" w:cs="Arial"/>
      <w:b/>
      <w:bCs/>
      <w:sz w:val="24"/>
      <w:szCs w:val="24"/>
    </w:rPr>
  </w:style>
  <w:style w:type="paragraph" w:styleId="670">
    <w:name w:val="Heading 6"/>
    <w:basedOn w:val="836"/>
    <w:next w:val="836"/>
    <w:link w:val="67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1">
    <w:name w:val="Heading 6 Char"/>
    <w:link w:val="670"/>
    <w:uiPriority w:val="9"/>
    <w:rPr>
      <w:rFonts w:ascii="Arial" w:hAnsi="Arial" w:eastAsia="Arial" w:cs="Arial"/>
      <w:b/>
      <w:bCs/>
      <w:sz w:val="22"/>
      <w:szCs w:val="22"/>
    </w:rPr>
  </w:style>
  <w:style w:type="paragraph" w:styleId="672">
    <w:name w:val="Heading 7"/>
    <w:basedOn w:val="836"/>
    <w:next w:val="836"/>
    <w:link w:val="67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3">
    <w:name w:val="Heading 7 Char"/>
    <w:link w:val="67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4">
    <w:name w:val="Heading 8"/>
    <w:basedOn w:val="836"/>
    <w:next w:val="836"/>
    <w:link w:val="67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5">
    <w:name w:val="Heading 8 Char"/>
    <w:link w:val="674"/>
    <w:uiPriority w:val="9"/>
    <w:rPr>
      <w:rFonts w:ascii="Arial" w:hAnsi="Arial" w:eastAsia="Arial" w:cs="Arial"/>
      <w:i/>
      <w:iCs/>
      <w:sz w:val="22"/>
      <w:szCs w:val="22"/>
    </w:rPr>
  </w:style>
  <w:style w:type="paragraph" w:styleId="676">
    <w:name w:val="Heading 9"/>
    <w:basedOn w:val="836"/>
    <w:next w:val="836"/>
    <w:link w:val="67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7">
    <w:name w:val="Heading 9 Char"/>
    <w:link w:val="676"/>
    <w:uiPriority w:val="9"/>
    <w:rPr>
      <w:rFonts w:ascii="Arial" w:hAnsi="Arial" w:eastAsia="Arial" w:cs="Arial"/>
      <w:i/>
      <w:iCs/>
      <w:sz w:val="21"/>
      <w:szCs w:val="21"/>
    </w:rPr>
  </w:style>
  <w:style w:type="paragraph" w:styleId="678">
    <w:name w:val="Title"/>
    <w:basedOn w:val="836"/>
    <w:next w:val="836"/>
    <w:link w:val="67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9">
    <w:name w:val="Title Char"/>
    <w:link w:val="678"/>
    <w:uiPriority w:val="10"/>
    <w:rPr>
      <w:sz w:val="48"/>
      <w:szCs w:val="48"/>
    </w:rPr>
  </w:style>
  <w:style w:type="paragraph" w:styleId="680">
    <w:name w:val="Subtitle"/>
    <w:basedOn w:val="836"/>
    <w:next w:val="836"/>
    <w:link w:val="681"/>
    <w:uiPriority w:val="11"/>
    <w:qFormat/>
    <w:pPr>
      <w:spacing w:before="200" w:after="200"/>
    </w:pPr>
    <w:rPr>
      <w:sz w:val="24"/>
      <w:szCs w:val="24"/>
    </w:rPr>
  </w:style>
  <w:style w:type="character" w:styleId="681">
    <w:name w:val="Subtitle Char"/>
    <w:link w:val="680"/>
    <w:uiPriority w:val="11"/>
    <w:rPr>
      <w:sz w:val="24"/>
      <w:szCs w:val="24"/>
    </w:rPr>
  </w:style>
  <w:style w:type="paragraph" w:styleId="682">
    <w:name w:val="Quote"/>
    <w:basedOn w:val="836"/>
    <w:next w:val="836"/>
    <w:link w:val="683"/>
    <w:uiPriority w:val="29"/>
    <w:qFormat/>
    <w:pPr>
      <w:ind w:left="720" w:right="720"/>
    </w:pPr>
    <w:rPr>
      <w:i/>
    </w:rPr>
  </w:style>
  <w:style w:type="character" w:styleId="683">
    <w:name w:val="Quote Char"/>
    <w:link w:val="682"/>
    <w:uiPriority w:val="29"/>
    <w:rPr>
      <w:i/>
    </w:rPr>
  </w:style>
  <w:style w:type="paragraph" w:styleId="684">
    <w:name w:val="Intense Quote"/>
    <w:basedOn w:val="836"/>
    <w:next w:val="836"/>
    <w:link w:val="68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5">
    <w:name w:val="Intense Quote Char"/>
    <w:link w:val="684"/>
    <w:uiPriority w:val="30"/>
    <w:rPr>
      <w:i/>
    </w:rPr>
  </w:style>
  <w:style w:type="paragraph" w:styleId="686">
    <w:name w:val="Header"/>
    <w:basedOn w:val="836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Header Char"/>
    <w:link w:val="686"/>
    <w:uiPriority w:val="99"/>
  </w:style>
  <w:style w:type="paragraph" w:styleId="688">
    <w:name w:val="Footer"/>
    <w:basedOn w:val="836"/>
    <w:link w:val="69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9">
    <w:name w:val="Footer Char"/>
    <w:link w:val="688"/>
    <w:uiPriority w:val="99"/>
  </w:style>
  <w:style w:type="paragraph" w:styleId="690">
    <w:name w:val="Caption"/>
    <w:basedOn w:val="836"/>
    <w:next w:val="83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1">
    <w:name w:val="Caption Char"/>
    <w:basedOn w:val="690"/>
    <w:link w:val="688"/>
    <w:uiPriority w:val="99"/>
  </w:style>
  <w:style w:type="table" w:styleId="692">
    <w:name w:val="Table Grid"/>
    <w:basedOn w:val="83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3">
    <w:name w:val="Table Grid Light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4">
    <w:name w:val="Plain Table 1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2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6">
    <w:name w:val="Plain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7">
    <w:name w:val="Plain Table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Plain Table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9">
    <w:name w:val="Grid Table 1 Light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4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1">
    <w:name w:val="Grid Table 4 - Accent 1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2">
    <w:name w:val="Grid Table 4 - Accent 2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3">
    <w:name w:val="Grid Table 4 - Accent 3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4">
    <w:name w:val="Grid Table 4 - Accent 4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5">
    <w:name w:val="Grid Table 4 - Accent 5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6">
    <w:name w:val="Grid Table 4 - Accent 6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7">
    <w:name w:val="Grid Table 5 Dark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31">
    <w:name w:val="Grid Table 5 Dark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4">
    <w:name w:val="Grid Table 6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5">
    <w:name w:val="Grid Table 6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6">
    <w:name w:val="Grid Table 6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7">
    <w:name w:val="Grid Table 6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8">
    <w:name w:val="Grid Table 6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9">
    <w:name w:val="Grid Table 6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0">
    <w:name w:val="Grid Table 6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1">
    <w:name w:val="Grid Table 7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6">
    <w:name w:val="List Table 2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7">
    <w:name w:val="List Table 2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8">
    <w:name w:val="List Table 2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9">
    <w:name w:val="List Table 2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0">
    <w:name w:val="List Table 2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1">
    <w:name w:val="List Table 2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2">
    <w:name w:val="List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5 Dark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6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4">
    <w:name w:val="List Table 6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5">
    <w:name w:val="List Table 6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6">
    <w:name w:val="List Table 6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7">
    <w:name w:val="List Table 6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8">
    <w:name w:val="List Table 6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9">
    <w:name w:val="List Table 6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0">
    <w:name w:val="List Table 7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1">
    <w:name w:val="List Table 7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2">
    <w:name w:val="List Table 7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3">
    <w:name w:val="List Table 7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4">
    <w:name w:val="List Table 7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5">
    <w:name w:val="List Table 7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6">
    <w:name w:val="List Table 7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7">
    <w:name w:val="Lined - Accent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8">
    <w:name w:val="Lined - Accent 1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9">
    <w:name w:val="Lined - Accent 2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0">
    <w:name w:val="Lined - Accent 3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1">
    <w:name w:val="Lined - Accent 4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2">
    <w:name w:val="Lined - Accent 5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3">
    <w:name w:val="Lined - Accent 6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4">
    <w:name w:val="Bordered &amp; Lined - Accent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5">
    <w:name w:val="Bordered &amp; Lined - Accent 1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6">
    <w:name w:val="Bordered &amp; Lined - Accent 2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7">
    <w:name w:val="Bordered &amp; Lined - Accent 3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8">
    <w:name w:val="Bordered &amp; Lined - Accent 4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9">
    <w:name w:val="Bordered &amp; Lined - Accent 5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0">
    <w:name w:val="Bordered &amp; Lined - Accent 6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1">
    <w:name w:val="Bordered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2">
    <w:name w:val="Bordered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3">
    <w:name w:val="Bordered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4">
    <w:name w:val="Bordered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5">
    <w:name w:val="Bordered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6">
    <w:name w:val="Bordered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7">
    <w:name w:val="Bordered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8">
    <w:name w:val="Hyperlink"/>
    <w:uiPriority w:val="99"/>
    <w:unhideWhenUsed/>
    <w:rPr>
      <w:color w:val="0000ff" w:themeColor="hyperlink"/>
      <w:u w:val="single"/>
    </w:rPr>
  </w:style>
  <w:style w:type="paragraph" w:styleId="819">
    <w:name w:val="footnote text"/>
    <w:basedOn w:val="836"/>
    <w:link w:val="820"/>
    <w:uiPriority w:val="99"/>
    <w:semiHidden/>
    <w:unhideWhenUsed/>
    <w:pPr>
      <w:spacing w:after="40" w:line="240" w:lineRule="auto"/>
    </w:pPr>
    <w:rPr>
      <w:sz w:val="18"/>
    </w:rPr>
  </w:style>
  <w:style w:type="character" w:styleId="820">
    <w:name w:val="Footnote Text Char"/>
    <w:link w:val="819"/>
    <w:uiPriority w:val="99"/>
    <w:rPr>
      <w:sz w:val="18"/>
    </w:rPr>
  </w:style>
  <w:style w:type="character" w:styleId="821">
    <w:name w:val="footnote reference"/>
    <w:uiPriority w:val="99"/>
    <w:unhideWhenUsed/>
    <w:rPr>
      <w:vertAlign w:val="superscript"/>
    </w:rPr>
  </w:style>
  <w:style w:type="paragraph" w:styleId="822">
    <w:name w:val="endnote text"/>
    <w:basedOn w:val="836"/>
    <w:link w:val="823"/>
    <w:uiPriority w:val="99"/>
    <w:semiHidden/>
    <w:unhideWhenUsed/>
    <w:pPr>
      <w:spacing w:after="0" w:line="240" w:lineRule="auto"/>
    </w:pPr>
    <w:rPr>
      <w:sz w:val="20"/>
    </w:rPr>
  </w:style>
  <w:style w:type="character" w:styleId="823">
    <w:name w:val="Endnote Text Char"/>
    <w:link w:val="822"/>
    <w:uiPriority w:val="99"/>
    <w:rPr>
      <w:sz w:val="20"/>
    </w:rPr>
  </w:style>
  <w:style w:type="character" w:styleId="824">
    <w:name w:val="endnote reference"/>
    <w:uiPriority w:val="99"/>
    <w:semiHidden/>
    <w:unhideWhenUsed/>
    <w:rPr>
      <w:vertAlign w:val="superscript"/>
    </w:rPr>
  </w:style>
  <w:style w:type="paragraph" w:styleId="825">
    <w:name w:val="toc 1"/>
    <w:basedOn w:val="836"/>
    <w:next w:val="836"/>
    <w:uiPriority w:val="39"/>
    <w:unhideWhenUsed/>
    <w:pPr>
      <w:ind w:left="0" w:right="0" w:firstLine="0"/>
      <w:spacing w:after="57"/>
    </w:pPr>
  </w:style>
  <w:style w:type="paragraph" w:styleId="826">
    <w:name w:val="toc 2"/>
    <w:basedOn w:val="836"/>
    <w:next w:val="836"/>
    <w:uiPriority w:val="39"/>
    <w:unhideWhenUsed/>
    <w:pPr>
      <w:ind w:left="283" w:right="0" w:firstLine="0"/>
      <w:spacing w:after="57"/>
    </w:pPr>
  </w:style>
  <w:style w:type="paragraph" w:styleId="827">
    <w:name w:val="toc 3"/>
    <w:basedOn w:val="836"/>
    <w:next w:val="836"/>
    <w:uiPriority w:val="39"/>
    <w:unhideWhenUsed/>
    <w:pPr>
      <w:ind w:left="567" w:right="0" w:firstLine="0"/>
      <w:spacing w:after="57"/>
    </w:pPr>
  </w:style>
  <w:style w:type="paragraph" w:styleId="828">
    <w:name w:val="toc 4"/>
    <w:basedOn w:val="836"/>
    <w:next w:val="836"/>
    <w:uiPriority w:val="39"/>
    <w:unhideWhenUsed/>
    <w:pPr>
      <w:ind w:left="850" w:right="0" w:firstLine="0"/>
      <w:spacing w:after="57"/>
    </w:pPr>
  </w:style>
  <w:style w:type="paragraph" w:styleId="829">
    <w:name w:val="toc 5"/>
    <w:basedOn w:val="836"/>
    <w:next w:val="836"/>
    <w:uiPriority w:val="39"/>
    <w:unhideWhenUsed/>
    <w:pPr>
      <w:ind w:left="1134" w:right="0" w:firstLine="0"/>
      <w:spacing w:after="57"/>
    </w:pPr>
  </w:style>
  <w:style w:type="paragraph" w:styleId="830">
    <w:name w:val="toc 6"/>
    <w:basedOn w:val="836"/>
    <w:next w:val="836"/>
    <w:uiPriority w:val="39"/>
    <w:unhideWhenUsed/>
    <w:pPr>
      <w:ind w:left="1417" w:right="0" w:firstLine="0"/>
      <w:spacing w:after="57"/>
    </w:pPr>
  </w:style>
  <w:style w:type="paragraph" w:styleId="831">
    <w:name w:val="toc 7"/>
    <w:basedOn w:val="836"/>
    <w:next w:val="836"/>
    <w:uiPriority w:val="39"/>
    <w:unhideWhenUsed/>
    <w:pPr>
      <w:ind w:left="1701" w:right="0" w:firstLine="0"/>
      <w:spacing w:after="57"/>
    </w:pPr>
  </w:style>
  <w:style w:type="paragraph" w:styleId="832">
    <w:name w:val="toc 8"/>
    <w:basedOn w:val="836"/>
    <w:next w:val="836"/>
    <w:uiPriority w:val="39"/>
    <w:unhideWhenUsed/>
    <w:pPr>
      <w:ind w:left="1984" w:right="0" w:firstLine="0"/>
      <w:spacing w:after="57"/>
    </w:pPr>
  </w:style>
  <w:style w:type="paragraph" w:styleId="833">
    <w:name w:val="toc 9"/>
    <w:basedOn w:val="836"/>
    <w:next w:val="836"/>
    <w:uiPriority w:val="39"/>
    <w:unhideWhenUsed/>
    <w:pPr>
      <w:ind w:left="2268" w:right="0" w:firstLine="0"/>
      <w:spacing w:after="57"/>
    </w:pPr>
  </w:style>
  <w:style w:type="paragraph" w:styleId="834">
    <w:name w:val="TOC Heading"/>
    <w:uiPriority w:val="39"/>
    <w:unhideWhenUsed/>
  </w:style>
  <w:style w:type="paragraph" w:styleId="835">
    <w:name w:val="table of figures"/>
    <w:basedOn w:val="836"/>
    <w:next w:val="836"/>
    <w:uiPriority w:val="99"/>
    <w:unhideWhenUsed/>
    <w:pPr>
      <w:spacing w:after="0" w:afterAutospacing="0"/>
    </w:pPr>
  </w:style>
  <w:style w:type="paragraph" w:styleId="836" w:default="1">
    <w:name w:val="Normal"/>
    <w:qFormat/>
  </w:style>
  <w:style w:type="table" w:styleId="83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8" w:default="1">
    <w:name w:val="No List"/>
    <w:uiPriority w:val="99"/>
    <w:semiHidden/>
    <w:unhideWhenUsed/>
  </w:style>
  <w:style w:type="paragraph" w:styleId="839">
    <w:name w:val="No Spacing"/>
    <w:basedOn w:val="836"/>
    <w:uiPriority w:val="1"/>
    <w:qFormat/>
    <w:pPr>
      <w:spacing w:after="0" w:line="240" w:lineRule="auto"/>
    </w:pPr>
  </w:style>
  <w:style w:type="paragraph" w:styleId="840">
    <w:name w:val="List Paragraph"/>
    <w:basedOn w:val="836"/>
    <w:uiPriority w:val="34"/>
    <w:qFormat/>
    <w:pPr>
      <w:contextualSpacing/>
      <w:ind w:left="720"/>
    </w:pPr>
  </w:style>
  <w:style w:type="character" w:styleId="841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hyperlink" Target="mailto::press66_rosreestr@mail.ru" TargetMode="External"/><Relationship Id="rId11" Type="http://schemas.openxmlformats.org/officeDocument/2006/relationships/hyperlink" Target="http://www.rosreestr.gov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3</cp:revision>
  <dcterms:modified xsi:type="dcterms:W3CDTF">2025-11-27T04:43:34Z</dcterms:modified>
</cp:coreProperties>
</file>